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1EE4" w14:textId="7EAC6197" w:rsidR="00074282" w:rsidRPr="00F322F6" w:rsidRDefault="00887CCC" w:rsidP="00F322F6">
      <w:pPr>
        <w:jc w:val="center"/>
        <w:rPr>
          <w:b/>
          <w:bCs/>
          <w:sz w:val="28"/>
          <w:szCs w:val="28"/>
        </w:rPr>
      </w:pPr>
      <w:r w:rsidRPr="00F322F6">
        <w:rPr>
          <w:b/>
          <w:bCs/>
          <w:sz w:val="28"/>
          <w:szCs w:val="28"/>
        </w:rPr>
        <w:t>Guideline of the Psychiatric Association of Turkey on the Use of Non-Discriminatory Language and Content Creation</w:t>
      </w:r>
    </w:p>
    <w:p w14:paraId="28095F8C" w14:textId="77777777" w:rsidR="00887CCC" w:rsidRDefault="00887CCC">
      <w:pPr>
        <w:rPr>
          <w:b/>
          <w:bCs/>
        </w:rPr>
      </w:pPr>
    </w:p>
    <w:p w14:paraId="349F5FC6" w14:textId="1DE31ACC" w:rsidR="00887CCC" w:rsidRDefault="00887CCC">
      <w:r w:rsidRPr="00887CCC">
        <w:t>Discriminatory language generally refers to the use of words and expressions that, whether consciously or unconsciously, create a discriminatory effect on an individual or a group. Various forms of expression, even when they are widely used, may pave the way for discrimination, convey it, and reproduce it, regardless of whether the individual is consciously intent on discriminating. Sexist discourse associated with gender stereotypes is the most common example of discriminatory language use. In addition, racist discourse related to discrimination against ethnic and belief groups, political discrimination, discrimination based on disability and appearance, class-based discrimination, discrimination related to age hierarchy, and discrimination related to mental and psychological illnesses and problems are also reflected in language and may be used unquestioningly through established expressions.</w:t>
      </w:r>
    </w:p>
    <w:p w14:paraId="7274AD74" w14:textId="77777777" w:rsidR="00887CCC" w:rsidRPr="00887CCC" w:rsidRDefault="00887CCC" w:rsidP="00887CCC">
      <w:r w:rsidRPr="00887CCC">
        <w:t>Gender is a socially constructed concept, distinct from biological sex; it encompasses a dynamic process of construction that defines identities, expressions, roles, norms, and behaviors, and shapes how individuals are perceived in society. This process of construction operates within a multi-layered network of communication, ranging from spoken and written texts to visual images and music, and from body language to gestures. Within this context, power relations embedded in the social structure are also continuously reproduced.</w:t>
      </w:r>
    </w:p>
    <w:p w14:paraId="75D37A58" w14:textId="50FD9411" w:rsidR="00887CCC" w:rsidRDefault="00887CCC" w:rsidP="00887CCC">
      <w:r w:rsidRPr="00887CCC">
        <w:t>Discriminatory language is not limited to gender; it also structures all forms of discrimination and stigmatization along axes such as ethnicity, belief group, language, class, age, disability, appearance, and mental and physical health. All of these are fundamentally produced and legitimized through the same expressive practices.</w:t>
      </w:r>
      <w:r w:rsidRPr="00887CCC">
        <w:br/>
        <w:t>From the planning of health research to the presentation of findings, language and other symbolic tools are decisive at every stage. The forms of expression used in formulating research questions, defining samples, interpreting data, and sharing results through various texts</w:t>
      </w:r>
      <w:r>
        <w:t>-</w:t>
      </w:r>
      <w:r w:rsidRPr="00887CCC">
        <w:t>such as conference papers, panel proposals, or patient information brochures</w:t>
      </w:r>
      <w:r>
        <w:t>-</w:t>
      </w:r>
      <w:r w:rsidRPr="00887CCC">
        <w:t>directly affect both the visibility of all these types of discrimination and the persistence and deepening of inequalities.</w:t>
      </w:r>
    </w:p>
    <w:p w14:paraId="0810EFD6" w14:textId="738C805D" w:rsidR="00887CCC" w:rsidRDefault="00887CCC" w:rsidP="00887CCC">
      <w:r w:rsidRPr="00887CCC">
        <w:t>For this reason, as the Psychiatric Association of Turkey (PAT), we adopt as an institutional principle the use of language that is opposed to all forms of discrimination and sensitive to gender and gender diversity at every stage</w:t>
      </w:r>
      <w:r>
        <w:t>-</w:t>
      </w:r>
      <w:r w:rsidRPr="00887CCC">
        <w:t>from papers to be presented at our congresses to poster designs, from panel and workshop content to session moderation</w:t>
      </w:r>
      <w:r>
        <w:t>-</w:t>
      </w:r>
      <w:r w:rsidRPr="00887CCC">
        <w:t xml:space="preserve">as well as in all scientific events organized by PAT and in our general publication policies. Our aim is to reduce assumptions and expressions that may lead to discrimination, including those based on gender, ethnicity, belief group, language, class, age, disability status, appearance, and </w:t>
      </w:r>
      <w:r w:rsidRPr="00887CCC">
        <w:lastRenderedPageBreak/>
        <w:t>mental and psychological health; and to use inclusive terms that make gender diversity visible by avoiding binary gender patterns and all restrictive categories.</w:t>
      </w:r>
    </w:p>
    <w:p w14:paraId="31A7A754" w14:textId="77777777" w:rsidR="00887CCC" w:rsidRPr="00887CCC" w:rsidRDefault="00887CCC" w:rsidP="00887CCC">
      <w:r w:rsidRPr="00887CCC">
        <w:t>We invite all our colleagues to jointly put this principle into practice and to shape our language, visuals, and all forms of expression from an anti-discriminatory perspective.</w:t>
      </w:r>
    </w:p>
    <w:p w14:paraId="638E9963" w14:textId="77777777" w:rsidR="00887CCC" w:rsidRDefault="00887CCC" w:rsidP="00887CCC"/>
    <w:p w14:paraId="177D3B90" w14:textId="77777777" w:rsidR="00887CCC" w:rsidRPr="00887CCC" w:rsidRDefault="00887CCC" w:rsidP="00887CCC">
      <w:r w:rsidRPr="00887CCC">
        <w:rPr>
          <w:b/>
          <w:bCs/>
        </w:rPr>
        <w:t>1. Language Use</w:t>
      </w:r>
    </w:p>
    <w:p w14:paraId="3A62CC71" w14:textId="77777777" w:rsidR="00887CCC" w:rsidRPr="00887CCC" w:rsidRDefault="00887CCC" w:rsidP="00887CCC">
      <w:r w:rsidRPr="00887CCC">
        <w:rPr>
          <w:b/>
          <w:bCs/>
        </w:rPr>
        <w:t>Inclusive, anti-discriminatory, and gender-neutral expressions:</w:t>
      </w:r>
    </w:p>
    <w:p w14:paraId="7B49EFAD" w14:textId="77777777" w:rsidR="00887CCC" w:rsidRPr="00887CCC" w:rsidRDefault="00887CCC" w:rsidP="00887CCC">
      <w:pPr>
        <w:numPr>
          <w:ilvl w:val="0"/>
          <w:numId w:val="3"/>
        </w:numPr>
      </w:pPr>
      <w:r w:rsidRPr="00887CCC">
        <w:t>In texts, gender-neutral terms such as “businessperson” should be preferred instead of “businessman,” and unnecessary gender emphasis such as “female doctor” / “male nurse” should be avoided in favor of simply “doctor” or “nurse.” When the use of pronouns is necessary, unnecessary gender references should be avoided by using gender-neutral pronouns (such as “they” in English).</w:t>
      </w:r>
    </w:p>
    <w:p w14:paraId="5E7CBDE0" w14:textId="77777777" w:rsidR="00887CCC" w:rsidRPr="00887CCC" w:rsidRDefault="00887CCC" w:rsidP="00887CCC">
      <w:pPr>
        <w:numPr>
          <w:ilvl w:val="0"/>
          <w:numId w:val="3"/>
        </w:numPr>
      </w:pPr>
      <w:r w:rsidRPr="00887CCC">
        <w:t>When referring to illnesses and diagnoses, person-first language should be used (for example, instead of “a schizophrenic,” use “an individual diagnosed with schizophrenia”; instead of “a bipolar patient,” use “a patient with bipolar disorder” or “a patient diagnosed with bipolar disorder”).</w:t>
      </w:r>
    </w:p>
    <w:p w14:paraId="728D284B" w14:textId="77777777" w:rsidR="00887CCC" w:rsidRPr="00887CCC" w:rsidRDefault="00887CCC" w:rsidP="00887CCC">
      <w:pPr>
        <w:numPr>
          <w:ilvl w:val="0"/>
          <w:numId w:val="3"/>
        </w:numPr>
      </w:pPr>
      <w:r w:rsidRPr="00887CCC">
        <w:t>When it is necessary to describe individuals or groups based on sexual identity characteristics, identity terms should, as much as possible, be used as nouns rather than adjectives (unlike in English): such as “LGBTI+ individuals,” “gay men.” Priority should be given to the gender, terms, and names that individuals use to describe themselves; for example, for a trans person who identifies as a woman, “trans woman” is an appropriate term, whereas “born male” or “male-to-female trans” are not appropriate expressions.</w:t>
      </w:r>
    </w:p>
    <w:p w14:paraId="2C4FB0FF" w14:textId="58B870A8" w:rsidR="00887CCC" w:rsidRDefault="00887CCC" w:rsidP="00887CCC">
      <w:pPr>
        <w:numPr>
          <w:ilvl w:val="0"/>
          <w:numId w:val="3"/>
        </w:numPr>
      </w:pPr>
      <w:r w:rsidRPr="00887CCC">
        <w:t>When referring to groups of people, one should avoid terms such as “disadvantaged group” or “high-risk group,” which may imply that socioeconomic conditions are defining characteristics of those groups; instead, expressions that explain the situation—such as “groups exposed to risk,” “groups disproportionately affected,” or “groups rendered vulnerable by non-inclusive practices/policies”</w:t>
      </w:r>
      <w:r>
        <w:t>-</w:t>
      </w:r>
      <w:r w:rsidRPr="00887CCC">
        <w:t>should be preferred.</w:t>
      </w:r>
    </w:p>
    <w:p w14:paraId="615D5717" w14:textId="77777777" w:rsidR="00887CCC" w:rsidRPr="00887CCC" w:rsidRDefault="00887CCC" w:rsidP="00887CCC">
      <w:pPr>
        <w:pStyle w:val="NormalWeb"/>
        <w:numPr>
          <w:ilvl w:val="0"/>
          <w:numId w:val="3"/>
        </w:numPr>
        <w:rPr>
          <w:rFonts w:asciiTheme="minorHAnsi" w:eastAsiaTheme="minorHAnsi" w:hAnsiTheme="minorHAnsi" w:cstheme="minorBidi"/>
          <w:kern w:val="2"/>
          <w:lang w:eastAsia="en-US"/>
          <w14:ligatures w14:val="standardContextual"/>
        </w:rPr>
      </w:pPr>
      <w:r w:rsidRPr="00887CCC">
        <w:rPr>
          <w:rFonts w:asciiTheme="minorHAnsi" w:eastAsiaTheme="minorHAnsi" w:hAnsiTheme="minorHAnsi" w:cstheme="minorBidi"/>
          <w:kern w:val="2"/>
          <w:lang w:eastAsia="en-US"/>
          <w14:ligatures w14:val="standardContextual"/>
        </w:rPr>
        <w:t>Keeping in mind that persons with disabilities possess abilities that anyone may have when their specific needs in society and institutions are not overlooked, one should avoid describing these individuals with expressions such as “brave,” “heroic,” or “having overcome their disability.” It should be ensured that language is not used in a way that portrays persons with disabilities as inherently vulnerable due to their condition. It should be borne in mind that the challenges created by an existing disability can become less of a barrier through legal and social positive discrimination measures.</w:t>
      </w:r>
    </w:p>
    <w:p w14:paraId="54E305D7" w14:textId="77777777" w:rsidR="00887CCC" w:rsidRPr="00887CCC" w:rsidRDefault="00887CCC" w:rsidP="00887CCC">
      <w:pPr>
        <w:pStyle w:val="NormalWeb"/>
        <w:numPr>
          <w:ilvl w:val="0"/>
          <w:numId w:val="3"/>
        </w:numPr>
        <w:rPr>
          <w:rFonts w:asciiTheme="minorHAnsi" w:eastAsiaTheme="minorHAnsi" w:hAnsiTheme="minorHAnsi" w:cstheme="minorBidi"/>
          <w:kern w:val="2"/>
          <w:lang w:eastAsia="en-US"/>
          <w14:ligatures w14:val="standardContextual"/>
        </w:rPr>
      </w:pPr>
      <w:r w:rsidRPr="00887CCC">
        <w:rPr>
          <w:rFonts w:asciiTheme="minorHAnsi" w:eastAsiaTheme="minorHAnsi" w:hAnsiTheme="minorHAnsi" w:cstheme="minorBidi"/>
          <w:kern w:val="2"/>
          <w:lang w:eastAsia="en-US"/>
          <w14:ligatures w14:val="standardContextual"/>
        </w:rPr>
        <w:lastRenderedPageBreak/>
        <w:t>Expressions containing ethnocentric biases should be avoided; openness to terms and concepts related to cultural diversity should be maintained, and reference to cultural context should be made when necessary.</w:t>
      </w:r>
    </w:p>
    <w:p w14:paraId="2463E5F2" w14:textId="77777777" w:rsidR="00887CCC" w:rsidRPr="00887CCC" w:rsidRDefault="00887CCC" w:rsidP="00887CCC">
      <w:pPr>
        <w:pStyle w:val="NormalWeb"/>
        <w:numPr>
          <w:ilvl w:val="0"/>
          <w:numId w:val="3"/>
        </w:numPr>
        <w:rPr>
          <w:rFonts w:asciiTheme="minorHAnsi" w:eastAsiaTheme="minorHAnsi" w:hAnsiTheme="minorHAnsi" w:cstheme="minorBidi"/>
          <w:kern w:val="2"/>
          <w:lang w:eastAsia="en-US"/>
          <w14:ligatures w14:val="standardContextual"/>
        </w:rPr>
      </w:pPr>
      <w:r w:rsidRPr="00887CCC">
        <w:rPr>
          <w:rFonts w:asciiTheme="minorHAnsi" w:eastAsiaTheme="minorHAnsi" w:hAnsiTheme="minorHAnsi" w:cstheme="minorBidi"/>
          <w:kern w:val="2"/>
          <w:lang w:eastAsia="en-US"/>
          <w14:ligatures w14:val="standardContextual"/>
        </w:rPr>
        <w:t>In studies related to trauma, individuals who have experienced trauma should be referred to as “persons exposed to trauma” rather than “victims.”</w:t>
      </w:r>
    </w:p>
    <w:p w14:paraId="27792A6A" w14:textId="77777777" w:rsidR="00887CCC" w:rsidRPr="00887CCC" w:rsidRDefault="00887CCC" w:rsidP="00887CCC">
      <w:pPr>
        <w:pStyle w:val="NormalWeb"/>
        <w:numPr>
          <w:ilvl w:val="0"/>
          <w:numId w:val="3"/>
        </w:numPr>
        <w:rPr>
          <w:rFonts w:asciiTheme="minorHAnsi" w:eastAsiaTheme="minorHAnsi" w:hAnsiTheme="minorHAnsi" w:cstheme="minorBidi"/>
          <w:kern w:val="2"/>
          <w:lang w:eastAsia="en-US"/>
          <w14:ligatures w14:val="standardContextual"/>
        </w:rPr>
      </w:pPr>
      <w:r w:rsidRPr="00887CCC">
        <w:rPr>
          <w:rFonts w:asciiTheme="minorHAnsi" w:eastAsiaTheme="minorHAnsi" w:hAnsiTheme="minorHAnsi" w:cstheme="minorBidi"/>
          <w:kern w:val="2"/>
          <w:lang w:eastAsia="en-US"/>
          <w14:ligatures w14:val="standardContextual"/>
        </w:rPr>
        <w:t>Expressions that judge individuals exposed to trauma or may induce feelings of guilt should not be used.</w:t>
      </w:r>
    </w:p>
    <w:p w14:paraId="35D078AB" w14:textId="77777777" w:rsidR="00D80861" w:rsidRPr="00D80861" w:rsidRDefault="00D80861" w:rsidP="00D80861">
      <w:pPr>
        <w:ind w:left="720"/>
      </w:pPr>
      <w:r w:rsidRPr="00D80861">
        <w:rPr>
          <w:b/>
          <w:bCs/>
        </w:rPr>
        <w:t>Checklist for Questioning Stereotypes:</w:t>
      </w:r>
    </w:p>
    <w:p w14:paraId="19B219D5" w14:textId="77777777" w:rsidR="00D80861" w:rsidRPr="00D80861" w:rsidRDefault="00D80861" w:rsidP="00D80861">
      <w:pPr>
        <w:ind w:left="720"/>
      </w:pPr>
      <w:r w:rsidRPr="00D80861">
        <w:t>Even if you take care to apply the language recommendations outlined above, stereotypes may unintentionally become embedded in your expressions. Therefore, before submitting any title, abstract, article, or paper, and before presenting your educational materials, answer the following questions regarding your text:</w:t>
      </w:r>
    </w:p>
    <w:p w14:paraId="6095AE75" w14:textId="77777777" w:rsidR="00D80861" w:rsidRPr="00D80861" w:rsidRDefault="00D80861" w:rsidP="00D87397">
      <w:pPr>
        <w:numPr>
          <w:ilvl w:val="0"/>
          <w:numId w:val="5"/>
        </w:numPr>
      </w:pPr>
      <w:r w:rsidRPr="00D80861">
        <w:t>Are gender roles and stereotypes being reinforced?</w:t>
      </w:r>
    </w:p>
    <w:p w14:paraId="6952B38A" w14:textId="77777777" w:rsidR="00D80861" w:rsidRPr="00D80861" w:rsidRDefault="00D80861" w:rsidP="00D87397">
      <w:pPr>
        <w:numPr>
          <w:ilvl w:val="0"/>
          <w:numId w:val="5"/>
        </w:numPr>
      </w:pPr>
      <w:r w:rsidRPr="00D80861">
        <w:t>How are women, men, and individuals with diverse gender identities described?</w:t>
      </w:r>
    </w:p>
    <w:p w14:paraId="24BEAAB3" w14:textId="77777777" w:rsidR="00D80861" w:rsidRPr="00D80861" w:rsidRDefault="00D80861" w:rsidP="00D87397">
      <w:pPr>
        <w:numPr>
          <w:ilvl w:val="0"/>
          <w:numId w:val="5"/>
        </w:numPr>
      </w:pPr>
      <w:r w:rsidRPr="00D80861">
        <w:t>Do your texts and presentation abstracts contain expressions that stigmatize a particular gender or sexual identity?</w:t>
      </w:r>
    </w:p>
    <w:p w14:paraId="41A74847" w14:textId="77777777" w:rsidR="00D80861" w:rsidRPr="00D80861" w:rsidRDefault="00D80861" w:rsidP="00D87397">
      <w:pPr>
        <w:numPr>
          <w:ilvl w:val="0"/>
          <w:numId w:val="5"/>
        </w:numPr>
      </w:pPr>
      <w:r w:rsidRPr="00D80861">
        <w:t>Is there unnecessary mention of individuals’ nationality or ethnic affiliation, or the use of language that signals explicit or implicit stigmatization? (When it is necessary to specify the country of which a person is a citizen, the term “citizenship” may be used.)</w:t>
      </w:r>
    </w:p>
    <w:p w14:paraId="498CAEEC" w14:textId="77777777" w:rsidR="00D80861" w:rsidRPr="00D80861" w:rsidRDefault="00D80861" w:rsidP="00D87397">
      <w:pPr>
        <w:numPr>
          <w:ilvl w:val="0"/>
          <w:numId w:val="5"/>
        </w:numPr>
      </w:pPr>
      <w:r w:rsidRPr="00D80861">
        <w:t>Are terms describing the status of refugees, asylum seekers, and displaced persons used appropriately, and are there any explicit or implicit stigmatizing, judgmental, or generalizing expressions related to their status?</w:t>
      </w:r>
    </w:p>
    <w:p w14:paraId="351F797D" w14:textId="77777777" w:rsidR="00D80861" w:rsidRPr="00D80861" w:rsidRDefault="00D80861" w:rsidP="00D87397">
      <w:pPr>
        <w:numPr>
          <w:ilvl w:val="0"/>
          <w:numId w:val="5"/>
        </w:numPr>
      </w:pPr>
      <w:r w:rsidRPr="00D80861">
        <w:t>Is there any association of illnesses, diagnoses, or symptoms with a particular group (gender, sexual identity, ethnic group, or belief group), or are they being attributed to a specific group?</w:t>
      </w:r>
    </w:p>
    <w:p w14:paraId="13847D84" w14:textId="77777777" w:rsidR="00D80861" w:rsidRPr="00D80861" w:rsidRDefault="00D80861" w:rsidP="00D87397">
      <w:pPr>
        <w:numPr>
          <w:ilvl w:val="0"/>
          <w:numId w:val="5"/>
        </w:numPr>
      </w:pPr>
      <w:r w:rsidRPr="00D80861">
        <w:t>Are disease or diagnosis names used appropriately, prioritizing the individual?</w:t>
      </w:r>
    </w:p>
    <w:p w14:paraId="5CCFE0E8" w14:textId="77777777" w:rsidR="00D80861" w:rsidRPr="00D80861" w:rsidRDefault="00D80861" w:rsidP="00D87397">
      <w:pPr>
        <w:numPr>
          <w:ilvl w:val="0"/>
          <w:numId w:val="5"/>
        </w:numPr>
      </w:pPr>
      <w:r w:rsidRPr="00D80861">
        <w:t>Are there expressions that generalize persons with disabilities or cause them to be perceived as heroic, or as weak and vulnerable?</w:t>
      </w:r>
    </w:p>
    <w:p w14:paraId="126C1590" w14:textId="77777777" w:rsidR="00887CCC" w:rsidRPr="00887CCC" w:rsidRDefault="00887CCC" w:rsidP="00887CCC">
      <w:pPr>
        <w:ind w:left="720"/>
      </w:pPr>
    </w:p>
    <w:p w14:paraId="10A31E65" w14:textId="77777777" w:rsidR="00E841BD" w:rsidRPr="00E841BD" w:rsidRDefault="00E841BD" w:rsidP="00E841BD">
      <w:r w:rsidRPr="00E841BD">
        <w:rPr>
          <w:b/>
          <w:bCs/>
        </w:rPr>
        <w:t>2. Use of Visual Materials</w:t>
      </w:r>
    </w:p>
    <w:p w14:paraId="5CD1D45E" w14:textId="77777777" w:rsidR="00E841BD" w:rsidRPr="00E841BD" w:rsidRDefault="00E841BD" w:rsidP="00E841BD">
      <w:r w:rsidRPr="00E841BD">
        <w:rPr>
          <w:b/>
          <w:bCs/>
        </w:rPr>
        <w:t>Selection of diverse and balanced representations and avoidance of stigmatization:</w:t>
      </w:r>
    </w:p>
    <w:p w14:paraId="434B38B1" w14:textId="77777777" w:rsidR="008F4E78" w:rsidRPr="008F4E78" w:rsidRDefault="008F4E78" w:rsidP="008F4E78">
      <w:pPr>
        <w:numPr>
          <w:ilvl w:val="0"/>
          <w:numId w:val="7"/>
        </w:numPr>
      </w:pPr>
      <w:r w:rsidRPr="008F4E78">
        <w:t>Photographs and icons should represent different ages, ethnic backgrounds, gender identities, and persons with disabilities equally.</w:t>
      </w:r>
    </w:p>
    <w:p w14:paraId="37CAC388" w14:textId="77777777" w:rsidR="008F4E78" w:rsidRPr="008F4E78" w:rsidRDefault="008F4E78" w:rsidP="008F4E78">
      <w:pPr>
        <w:numPr>
          <w:ilvl w:val="0"/>
          <w:numId w:val="7"/>
        </w:numPr>
      </w:pPr>
      <w:r w:rsidRPr="008F4E78">
        <w:lastRenderedPageBreak/>
        <w:t>Care should be taken to ensure that men and women are not depicted in traditional roles.</w:t>
      </w:r>
    </w:p>
    <w:p w14:paraId="78BBFB17" w14:textId="77777777" w:rsidR="008F4E78" w:rsidRPr="008F4E78" w:rsidRDefault="008F4E78" w:rsidP="008F4E78">
      <w:pPr>
        <w:numPr>
          <w:ilvl w:val="0"/>
          <w:numId w:val="7"/>
        </w:numPr>
      </w:pPr>
      <w:r w:rsidRPr="008F4E78">
        <w:t>Visuals that reproduce gender stereotypes should not be used.</w:t>
      </w:r>
    </w:p>
    <w:p w14:paraId="5E9C9485" w14:textId="77777777" w:rsidR="008F4E78" w:rsidRPr="008F4E78" w:rsidRDefault="008F4E78" w:rsidP="008F4E78">
      <w:pPr>
        <w:numPr>
          <w:ilvl w:val="0"/>
          <w:numId w:val="7"/>
        </w:numPr>
      </w:pPr>
      <w:r w:rsidRPr="008F4E78">
        <w:t>Stereotypes related to the use of colors should be avoided.</w:t>
      </w:r>
    </w:p>
    <w:p w14:paraId="37FA9333" w14:textId="77777777" w:rsidR="008F4E78" w:rsidRPr="008F4E78" w:rsidRDefault="008F4E78" w:rsidP="008F4E78">
      <w:pPr>
        <w:numPr>
          <w:ilvl w:val="0"/>
          <w:numId w:val="7"/>
        </w:numPr>
      </w:pPr>
      <w:r w:rsidRPr="008F4E78">
        <w:t>Representations that depict individuals exposed to trauma, with trauma experiences, or at risk as victims and that reinforce misconceptions should not be used.</w:t>
      </w:r>
    </w:p>
    <w:p w14:paraId="22EDE00C" w14:textId="77777777" w:rsidR="008F4E78" w:rsidRPr="008F4E78" w:rsidRDefault="008F4E78" w:rsidP="008F4E78">
      <w:pPr>
        <w:numPr>
          <w:ilvl w:val="0"/>
          <w:numId w:val="7"/>
        </w:numPr>
      </w:pPr>
      <w:r w:rsidRPr="008F4E78">
        <w:t>Materials that portray persons with disabilities primarily as dependent or in need of assistance should be avoided.</w:t>
      </w:r>
    </w:p>
    <w:p w14:paraId="1AB90201" w14:textId="77777777" w:rsidR="008F4E78" w:rsidRPr="008F4E78" w:rsidRDefault="008F4E78" w:rsidP="008F4E78">
      <w:pPr>
        <w:numPr>
          <w:ilvl w:val="0"/>
          <w:numId w:val="7"/>
        </w:numPr>
      </w:pPr>
      <w:r w:rsidRPr="008F4E78">
        <w:t>Visuals should avoid clichés that associate specific diagnoses with certain genders, sexual identities, or racial/ethnic backgrounds (for example, instead of choosing images that link “eating disorders” with young women, “substance abuse” or “anger outbursts” with men, or HIV diagnosis with gay individuals, individuals of all genders and identities should be shown in empowering contexts such as therapy, support groups, or hobby activities).</w:t>
      </w:r>
    </w:p>
    <w:p w14:paraId="468EAB71" w14:textId="77777777" w:rsidR="008F4E78" w:rsidRPr="008F4E78" w:rsidRDefault="008F4E78" w:rsidP="008F4E78">
      <w:pPr>
        <w:numPr>
          <w:ilvl w:val="0"/>
          <w:numId w:val="7"/>
        </w:numPr>
      </w:pPr>
      <w:r w:rsidRPr="008F4E78">
        <w:t>Child images should not be used in texts related to sexual trauma.</w:t>
      </w:r>
    </w:p>
    <w:p w14:paraId="6A53E80A" w14:textId="77777777" w:rsidR="008F4E78" w:rsidRPr="008F4E78" w:rsidRDefault="008F4E78" w:rsidP="008F4E78">
      <w:pPr>
        <w:numPr>
          <w:ilvl w:val="0"/>
          <w:numId w:val="7"/>
        </w:numPr>
      </w:pPr>
      <w:r w:rsidRPr="008F4E78">
        <w:t>In educational materials providing protective/preventive information about sexual abuse, visuals should not depict only one gender.</w:t>
      </w:r>
    </w:p>
    <w:p w14:paraId="532B74FD" w14:textId="77777777" w:rsidR="00887CCC" w:rsidRPr="00887CCC" w:rsidRDefault="00887CCC" w:rsidP="00887CCC"/>
    <w:p w14:paraId="4A702C98" w14:textId="77777777" w:rsidR="00734692" w:rsidRPr="00734692" w:rsidRDefault="00734692" w:rsidP="00734692">
      <w:r w:rsidRPr="00734692">
        <w:rPr>
          <w:b/>
          <w:bCs/>
        </w:rPr>
        <w:t>3. Equality in Representation in Research and Literature Presentations</w:t>
      </w:r>
    </w:p>
    <w:p w14:paraId="4C6BA693" w14:textId="77777777" w:rsidR="00734692" w:rsidRPr="00734692" w:rsidRDefault="00734692" w:rsidP="00734692">
      <w:r w:rsidRPr="00734692">
        <w:t>An approach that is both gender-equitable and anti-discriminatory should be applied not only in presentations but also in the processes of analyzing and interpreting the data used. Including gender diversity ensures that the research aligns more closely with social reality and makes the experiences of different groups visible. This contributes to increased diversity and equality in scientific work and helps achieve more effective outcomes in policy development and implementation.</w:t>
      </w:r>
    </w:p>
    <w:p w14:paraId="6ECAD5BE" w14:textId="77777777" w:rsidR="004F651C" w:rsidRPr="004F651C" w:rsidRDefault="004F651C" w:rsidP="004F651C">
      <w:r w:rsidRPr="004F651C">
        <w:rPr>
          <w:b/>
          <w:bCs/>
        </w:rPr>
        <w:t>Disaggregation in Data and Graphs:</w:t>
      </w:r>
    </w:p>
    <w:p w14:paraId="7676DE6B" w14:textId="77777777" w:rsidR="004F651C" w:rsidRPr="004F651C" w:rsidRDefault="004F651C" w:rsidP="004F651C">
      <w:pPr>
        <w:numPr>
          <w:ilvl w:val="0"/>
          <w:numId w:val="8"/>
        </w:numPr>
      </w:pPr>
      <w:r w:rsidRPr="004F651C">
        <w:t>In result tables and graphs, gender/gender identity groups should always be reported separately; a “combined average” should not be presented alone. It should be clearly indicated which groups the averages are derived from. (Even if differences between groups are not statistically significant, reporting these data separately is important for visibility and representation.)</w:t>
      </w:r>
    </w:p>
    <w:p w14:paraId="6AAEC522" w14:textId="77777777" w:rsidR="001C3389" w:rsidRPr="001C3389" w:rsidRDefault="001C3389" w:rsidP="001C3389">
      <w:r w:rsidRPr="001C3389">
        <w:rPr>
          <w:b/>
          <w:bCs/>
        </w:rPr>
        <w:t>Monitoring Equal Representation:</w:t>
      </w:r>
    </w:p>
    <w:p w14:paraId="4DCD965F" w14:textId="77777777" w:rsidR="001C3389" w:rsidRPr="001C3389" w:rsidRDefault="001C3389" w:rsidP="00533345">
      <w:pPr>
        <w:numPr>
          <w:ilvl w:val="0"/>
          <w:numId w:val="10"/>
        </w:numPr>
      </w:pPr>
      <w:r w:rsidRPr="001C3389">
        <w:t xml:space="preserve">In presentation slides, example cases, reference studies, or literature reviews should not focus exclusively on the experiences of certain genders or social groups. The </w:t>
      </w:r>
      <w:r w:rsidRPr="001C3389">
        <w:lastRenderedPageBreak/>
        <w:t>numerical balance of women, men, and individuals with diverse gender identities should be checked, and underrepresented groups should be updated in a corrective manner if necessary. Inclusivity in academic representation should be enhanced.</w:t>
      </w:r>
    </w:p>
    <w:p w14:paraId="630E9F5D" w14:textId="77777777" w:rsidR="001C3389" w:rsidRPr="001C3389" w:rsidRDefault="001C3389" w:rsidP="00533345">
      <w:pPr>
        <w:numPr>
          <w:ilvl w:val="0"/>
          <w:numId w:val="10"/>
        </w:numPr>
      </w:pPr>
      <w:r w:rsidRPr="001C3389">
        <w:t>When planning any presentation or event, attention should be paid to the gender distribution of individuals in active roles. For example, when proposing a panel, not all speakers or session chairs should be selected from among men; it is always possible to include women colleagues with similar qualifications.</w:t>
      </w:r>
    </w:p>
    <w:p w14:paraId="43049F5B" w14:textId="77777777" w:rsidR="001C3389" w:rsidRPr="001C3389" w:rsidRDefault="001C3389" w:rsidP="00533345">
      <w:pPr>
        <w:numPr>
          <w:ilvl w:val="0"/>
          <w:numId w:val="10"/>
        </w:numPr>
      </w:pPr>
      <w:r w:rsidRPr="001C3389">
        <w:t>In research, oral or written presentations, or events—especially when addressing topics related to discrimination—it is appropriate to prioritize the inclusion of individuals who are directly the subject of the topic and have lived or are living that experience.</w:t>
      </w:r>
    </w:p>
    <w:p w14:paraId="7066414C" w14:textId="77777777" w:rsidR="00887CCC" w:rsidRPr="00887CCC" w:rsidRDefault="00887CCC" w:rsidP="00887CCC"/>
    <w:p w14:paraId="3148F5E3" w14:textId="77777777" w:rsidR="00C17DE8" w:rsidRPr="00C17DE8" w:rsidRDefault="00C17DE8" w:rsidP="00C17DE8">
      <w:r w:rsidRPr="00C17DE8">
        <w:rPr>
          <w:b/>
          <w:bCs/>
        </w:rPr>
        <w:t>References</w:t>
      </w:r>
    </w:p>
    <w:p w14:paraId="570DC8E6" w14:textId="77777777" w:rsidR="00C17DE8" w:rsidRPr="00C17DE8" w:rsidRDefault="00C17DE8" w:rsidP="00C17DE8">
      <w:pPr>
        <w:numPr>
          <w:ilvl w:val="0"/>
          <w:numId w:val="11"/>
        </w:numPr>
      </w:pPr>
      <w:r w:rsidRPr="00C17DE8">
        <w:t xml:space="preserve">United Nations Development Programme Turkey. (2021). </w:t>
      </w:r>
      <w:r w:rsidRPr="00C17DE8">
        <w:rPr>
          <w:i/>
          <w:iCs/>
        </w:rPr>
        <w:t>Gender-Sensitive Communication Guide</w:t>
      </w:r>
      <w:r w:rsidRPr="00C17DE8">
        <w:t xml:space="preserve"> [PDF]. UNDP. </w:t>
      </w:r>
      <w:hyperlink r:id="rId5" w:history="1">
        <w:r w:rsidRPr="00C17DE8">
          <w:rPr>
            <w:rStyle w:val="Kpr"/>
          </w:rPr>
          <w:t>https://www.undp.org/tr/turkiye/publications/toplumsal-cinsiyete-duyarli-iletisim-rehberi</w:t>
        </w:r>
      </w:hyperlink>
    </w:p>
    <w:p w14:paraId="46E10BAD" w14:textId="77777777" w:rsidR="00C17DE8" w:rsidRPr="00C17DE8" w:rsidRDefault="00C17DE8" w:rsidP="00C17DE8">
      <w:pPr>
        <w:numPr>
          <w:ilvl w:val="0"/>
          <w:numId w:val="11"/>
        </w:numPr>
      </w:pPr>
      <w:r w:rsidRPr="00C17DE8">
        <w:t xml:space="preserve">Calanan, R. M., Bonds, M. E., Bedrosian, S. R., Laird, S. K., Satter, D., &amp; Penman-Aguilar, A. (2023). CDC’s guiding principles to promote an equity-centered approach to public health communication. </w:t>
      </w:r>
      <w:r w:rsidRPr="00C17DE8">
        <w:rPr>
          <w:i/>
          <w:iCs/>
        </w:rPr>
        <w:t>Preventing Chronic Disease, 20</w:t>
      </w:r>
      <w:r w:rsidRPr="00C17DE8">
        <w:t xml:space="preserve">, Article 230061. </w:t>
      </w:r>
      <w:hyperlink r:id="rId6" w:history="1">
        <w:r w:rsidRPr="00C17DE8">
          <w:rPr>
            <w:rStyle w:val="Kpr"/>
          </w:rPr>
          <w:t>https://doi.org/10.5888/pcd20.230061</w:t>
        </w:r>
      </w:hyperlink>
    </w:p>
    <w:p w14:paraId="4289C9CF" w14:textId="77777777" w:rsidR="00C17DE8" w:rsidRPr="00C17DE8" w:rsidRDefault="00C17DE8" w:rsidP="00C17DE8">
      <w:pPr>
        <w:numPr>
          <w:ilvl w:val="0"/>
          <w:numId w:val="11"/>
        </w:numPr>
      </w:pPr>
      <w:r w:rsidRPr="00C17DE8">
        <w:t xml:space="preserve">Association for Combating Sexual Violence. (2018). </w:t>
      </w:r>
      <w:r w:rsidRPr="00C17DE8">
        <w:rPr>
          <w:i/>
          <w:iCs/>
        </w:rPr>
        <w:t>Rights-Based Publishing in the Field of Sexual Violence</w:t>
      </w:r>
      <w:r w:rsidRPr="00C17DE8">
        <w:t xml:space="preserve"> [PDF]. </w:t>
      </w:r>
      <w:hyperlink r:id="rId7" w:history="1">
        <w:r w:rsidRPr="00C17DE8">
          <w:rPr>
            <w:rStyle w:val="Kpr"/>
          </w:rPr>
          <w:t>https://cinselsiddetlemucadele.org/wp-content/uploads/2018/12/Medya-brosur-online.pdf</w:t>
        </w:r>
      </w:hyperlink>
    </w:p>
    <w:p w14:paraId="3B0FDB7F" w14:textId="77777777" w:rsidR="00C17DE8" w:rsidRPr="00C17DE8" w:rsidRDefault="00C17DE8" w:rsidP="00C17DE8">
      <w:pPr>
        <w:numPr>
          <w:ilvl w:val="0"/>
          <w:numId w:val="11"/>
        </w:numPr>
      </w:pPr>
      <w:r w:rsidRPr="00C17DE8">
        <w:t xml:space="preserve">Association for Combating Sexual Violence. (2019). </w:t>
      </w:r>
      <w:r w:rsidRPr="00C17DE8">
        <w:rPr>
          <w:i/>
          <w:iCs/>
        </w:rPr>
        <w:t>Using the Right Words</w:t>
      </w:r>
      <w:r w:rsidRPr="00C17DE8">
        <w:t xml:space="preserve"> [PDF]. </w:t>
      </w:r>
      <w:hyperlink r:id="rId8" w:history="1">
        <w:r w:rsidRPr="00C17DE8">
          <w:rPr>
            <w:rStyle w:val="Kpr"/>
          </w:rPr>
          <w:t>https://cinselsiddetlemucadele.org/wp-content/uploads/2018/01/Dogru-Kelimeler-DIGITAL2.pdf</w:t>
        </w:r>
      </w:hyperlink>
    </w:p>
    <w:p w14:paraId="6A64740C" w14:textId="77777777" w:rsidR="00C17DE8" w:rsidRPr="00C17DE8" w:rsidRDefault="00C17DE8" w:rsidP="00C17DE8">
      <w:pPr>
        <w:numPr>
          <w:ilvl w:val="0"/>
          <w:numId w:val="11"/>
        </w:numPr>
      </w:pPr>
      <w:r w:rsidRPr="00C17DE8">
        <w:t xml:space="preserve">Association for Combating Sexual Violence. (2021). </w:t>
      </w:r>
      <w:r w:rsidRPr="00C17DE8">
        <w:rPr>
          <w:i/>
          <w:iCs/>
        </w:rPr>
        <w:t>Rights-Based Reporting in the Field of Sexual Violence</w:t>
      </w:r>
      <w:r w:rsidRPr="00C17DE8">
        <w:t xml:space="preserve"> [PDF]. </w:t>
      </w:r>
      <w:hyperlink r:id="rId9" w:history="1">
        <w:r w:rsidRPr="00C17DE8">
          <w:rPr>
            <w:rStyle w:val="Kpr"/>
          </w:rPr>
          <w:t>https://cinselsiddetlemucadele.org/wp-content/uploads/2021/10/Hak_Temelli_Habercilik_Raporu-1.pdf</w:t>
        </w:r>
      </w:hyperlink>
    </w:p>
    <w:p w14:paraId="2AC4D331" w14:textId="77777777" w:rsidR="00C17DE8" w:rsidRPr="00C17DE8" w:rsidRDefault="00C17DE8" w:rsidP="00C17DE8">
      <w:pPr>
        <w:numPr>
          <w:ilvl w:val="0"/>
          <w:numId w:val="11"/>
        </w:numPr>
      </w:pPr>
      <w:r w:rsidRPr="00C17DE8">
        <w:t xml:space="preserve">Council of Europe. (2024). </w:t>
      </w:r>
      <w:r w:rsidRPr="00C17DE8">
        <w:rPr>
          <w:i/>
          <w:iCs/>
        </w:rPr>
        <w:t>Guidelines for the Use of Language as a Driver of Inclusivity</w:t>
      </w:r>
      <w:r w:rsidRPr="00C17DE8">
        <w:t xml:space="preserve"> [PDF]. Council of Europe. </w:t>
      </w:r>
      <w:hyperlink r:id="rId10" w:history="1">
        <w:r w:rsidRPr="00C17DE8">
          <w:rPr>
            <w:rStyle w:val="Kpr"/>
          </w:rPr>
          <w:t>https://rm.coe.int/guidelines-for-the-use-of-language-as-a-driver-of-inclusivity/1680aec235</w:t>
        </w:r>
      </w:hyperlink>
    </w:p>
    <w:p w14:paraId="5BE6C8AE" w14:textId="77777777" w:rsidR="00C17DE8" w:rsidRPr="00C17DE8" w:rsidRDefault="00C17DE8" w:rsidP="00C17DE8">
      <w:pPr>
        <w:numPr>
          <w:ilvl w:val="0"/>
          <w:numId w:val="11"/>
        </w:numPr>
      </w:pPr>
      <w:r w:rsidRPr="00C17DE8">
        <w:t xml:space="preserve">European Institute for Gender Equality. (2019). </w:t>
      </w:r>
      <w:r w:rsidRPr="00C17DE8">
        <w:rPr>
          <w:i/>
          <w:iCs/>
        </w:rPr>
        <w:t>Toolkit on Gender-Sensitive Communication: A Resource for Policymakers, Legislators, Media, and Anyone Else with an Interest in Making Their Communication More Inclusive</w:t>
      </w:r>
      <w:r w:rsidRPr="00C17DE8">
        <w:t xml:space="preserve"> [PDF]. Publications </w:t>
      </w:r>
      <w:r w:rsidRPr="00C17DE8">
        <w:lastRenderedPageBreak/>
        <w:t xml:space="preserve">Office of the European Union. </w:t>
      </w:r>
      <w:hyperlink r:id="rId11" w:history="1">
        <w:r w:rsidRPr="00C17DE8">
          <w:rPr>
            <w:rStyle w:val="Kpr"/>
          </w:rPr>
          <w:t>https://eige.europa.eu/publications-resources/publications/toolkit-gender-sensitive-communication?language_content_entity=en</w:t>
        </w:r>
      </w:hyperlink>
    </w:p>
    <w:p w14:paraId="3FAD98CC" w14:textId="77777777" w:rsidR="00C17DE8" w:rsidRPr="00C17DE8" w:rsidRDefault="00C17DE8" w:rsidP="00C17DE8">
      <w:pPr>
        <w:numPr>
          <w:ilvl w:val="0"/>
          <w:numId w:val="11"/>
        </w:numPr>
      </w:pPr>
      <w:r w:rsidRPr="00C17DE8">
        <w:t xml:space="preserve">Kadir Has University, Center for Gender and Women’s Studies. (2017). </w:t>
      </w:r>
      <w:r w:rsidRPr="00C17DE8">
        <w:rPr>
          <w:i/>
          <w:iCs/>
        </w:rPr>
        <w:t>Gender Sensitive Writing Guide</w:t>
      </w:r>
      <w:r w:rsidRPr="00C17DE8">
        <w:t xml:space="preserve"> [PDF]. Kadir Has University. </w:t>
      </w:r>
      <w:hyperlink r:id="rId12" w:history="1">
        <w:r w:rsidRPr="00C17DE8">
          <w:rPr>
            <w:rStyle w:val="Kpr"/>
          </w:rPr>
          <w:t>https://www.khas.edu.tr/wp-content/uploads/2024/10/Gender-Sensitive-Writing-Guide_1.pdf</w:t>
        </w:r>
      </w:hyperlink>
    </w:p>
    <w:p w14:paraId="01CB9EEF" w14:textId="77777777" w:rsidR="00C17DE8" w:rsidRPr="00C17DE8" w:rsidRDefault="00C17DE8" w:rsidP="00C17DE8">
      <w:pPr>
        <w:numPr>
          <w:ilvl w:val="0"/>
          <w:numId w:val="11"/>
        </w:numPr>
      </w:pPr>
      <w:r w:rsidRPr="00C17DE8">
        <w:t xml:space="preserve">Massachusetts Medical Society. (2022). </w:t>
      </w:r>
      <w:r w:rsidRPr="00C17DE8">
        <w:rPr>
          <w:i/>
          <w:iCs/>
        </w:rPr>
        <w:t>Advancing Health Equity: Guide to Language</w:t>
      </w:r>
      <w:r w:rsidRPr="00C17DE8">
        <w:t xml:space="preserve">. </w:t>
      </w:r>
      <w:hyperlink r:id="rId13" w:history="1">
        <w:r w:rsidRPr="00C17DE8">
          <w:rPr>
            <w:rStyle w:val="Kpr"/>
          </w:rPr>
          <w:t>https://www.massmed.org/Governance-and-Leadership/House-of-Delegates/Advancing-Health-Equity-Guide-to-Language/</w:t>
        </w:r>
      </w:hyperlink>
    </w:p>
    <w:p w14:paraId="7B9CDB9C" w14:textId="77777777" w:rsidR="00C17DE8" w:rsidRPr="00C17DE8" w:rsidRDefault="00C17DE8" w:rsidP="00C17DE8">
      <w:pPr>
        <w:numPr>
          <w:ilvl w:val="0"/>
          <w:numId w:val="11"/>
        </w:numPr>
      </w:pPr>
      <w:r w:rsidRPr="00C17DE8">
        <w:t xml:space="preserve">UN Women Asia-Pacific. (2022). </w:t>
      </w:r>
      <w:r w:rsidRPr="00C17DE8">
        <w:rPr>
          <w:i/>
          <w:iCs/>
        </w:rPr>
        <w:t>Gender Inclusive Language Guidelines</w:t>
      </w:r>
      <w:r w:rsidRPr="00C17DE8">
        <w:t xml:space="preserve"> [PDF]. UN Women. </w:t>
      </w:r>
      <w:hyperlink r:id="rId14" w:history="1">
        <w:r w:rsidRPr="00C17DE8">
          <w:rPr>
            <w:rStyle w:val="Kpr"/>
          </w:rPr>
          <w:t>https://asiapacific.unwomen.org/sites/default/files/2022-11/Gender%20Inclusive%20Language%20Guidelines.pdf</w:t>
        </w:r>
      </w:hyperlink>
    </w:p>
    <w:p w14:paraId="4BA1F6FF" w14:textId="77777777" w:rsidR="00C17DE8" w:rsidRPr="00C17DE8" w:rsidRDefault="00C17DE8" w:rsidP="00C17DE8">
      <w:pPr>
        <w:numPr>
          <w:ilvl w:val="0"/>
          <w:numId w:val="11"/>
        </w:numPr>
      </w:pPr>
      <w:r w:rsidRPr="00C17DE8">
        <w:t xml:space="preserve">World Health Organization. (2011). </w:t>
      </w:r>
      <w:r w:rsidRPr="00C17DE8">
        <w:rPr>
          <w:i/>
          <w:iCs/>
        </w:rPr>
        <w:t>Gender Mainstreaming for Health Managers: A Practical Approach (Facilitator’s Guide)</w:t>
      </w:r>
      <w:r w:rsidRPr="00C17DE8">
        <w:t xml:space="preserve"> [PDF]. </w:t>
      </w:r>
      <w:hyperlink r:id="rId15" w:history="1">
        <w:r w:rsidRPr="00C17DE8">
          <w:rPr>
            <w:rStyle w:val="Kpr"/>
          </w:rPr>
          <w:t>https://iris.who.int/bitstream/handle/10665/44516/9789241501071_eng.pdf?sequence=1</w:t>
        </w:r>
      </w:hyperlink>
    </w:p>
    <w:p w14:paraId="19884064" w14:textId="77777777" w:rsidR="00D34E89" w:rsidRDefault="00D34E89" w:rsidP="00D34E89">
      <w:pPr>
        <w:pStyle w:val="NormalWeb"/>
        <w:numPr>
          <w:ilvl w:val="0"/>
          <w:numId w:val="11"/>
        </w:numPr>
      </w:pPr>
      <w:r>
        <w:t xml:space="preserve">World Health Organization. (2002). </w:t>
      </w:r>
      <w:r>
        <w:rPr>
          <w:rStyle w:val="Vurgu"/>
          <w:rFonts w:eastAsiaTheme="majorEastAsia"/>
        </w:rPr>
        <w:t>Gender Analysis in Health</w:t>
      </w:r>
      <w:r>
        <w:t xml:space="preserve"> [PDF]. </w:t>
      </w:r>
      <w:hyperlink r:id="rId16" w:history="1">
        <w:r>
          <w:rPr>
            <w:rStyle w:val="Kpr"/>
            <w:rFonts w:eastAsiaTheme="majorEastAsia"/>
          </w:rPr>
          <w:t>https://iris.who.int/bitstream/handle/10665/42600/9241590408.pdf</w:t>
        </w:r>
      </w:hyperlink>
    </w:p>
    <w:p w14:paraId="68523D68" w14:textId="77777777" w:rsidR="00887CCC" w:rsidRPr="00887CCC" w:rsidRDefault="00887CCC"/>
    <w:sectPr w:rsidR="00887CCC" w:rsidRPr="00887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2AE"/>
    <w:multiLevelType w:val="multilevel"/>
    <w:tmpl w:val="16CA9A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851DC"/>
    <w:multiLevelType w:val="multilevel"/>
    <w:tmpl w:val="5DD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F5671"/>
    <w:multiLevelType w:val="multilevel"/>
    <w:tmpl w:val="CD56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F6F1F"/>
    <w:multiLevelType w:val="multilevel"/>
    <w:tmpl w:val="044423E0"/>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A292F"/>
    <w:multiLevelType w:val="multilevel"/>
    <w:tmpl w:val="71B6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94D67"/>
    <w:multiLevelType w:val="multilevel"/>
    <w:tmpl w:val="5B1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40EB9"/>
    <w:multiLevelType w:val="multilevel"/>
    <w:tmpl w:val="DD745AAA"/>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A7105"/>
    <w:multiLevelType w:val="multilevel"/>
    <w:tmpl w:val="5F9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02595"/>
    <w:multiLevelType w:val="multilevel"/>
    <w:tmpl w:val="65480EB0"/>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E2A5D"/>
    <w:multiLevelType w:val="multilevel"/>
    <w:tmpl w:val="FCB657B6"/>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86078"/>
    <w:multiLevelType w:val="multilevel"/>
    <w:tmpl w:val="482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83BAD"/>
    <w:multiLevelType w:val="multilevel"/>
    <w:tmpl w:val="1C62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737711">
    <w:abstractNumId w:val="7"/>
  </w:num>
  <w:num w:numId="2" w16cid:durableId="979722982">
    <w:abstractNumId w:val="11"/>
  </w:num>
  <w:num w:numId="3" w16cid:durableId="1603684746">
    <w:abstractNumId w:val="9"/>
  </w:num>
  <w:num w:numId="4" w16cid:durableId="1759449367">
    <w:abstractNumId w:val="1"/>
  </w:num>
  <w:num w:numId="5" w16cid:durableId="1027756083">
    <w:abstractNumId w:val="3"/>
  </w:num>
  <w:num w:numId="6" w16cid:durableId="1312059303">
    <w:abstractNumId w:val="4"/>
  </w:num>
  <w:num w:numId="7" w16cid:durableId="58673179">
    <w:abstractNumId w:val="6"/>
  </w:num>
  <w:num w:numId="8" w16cid:durableId="1428424505">
    <w:abstractNumId w:val="10"/>
  </w:num>
  <w:num w:numId="9" w16cid:durableId="1651053416">
    <w:abstractNumId w:val="5"/>
  </w:num>
  <w:num w:numId="10" w16cid:durableId="1897626176">
    <w:abstractNumId w:val="8"/>
  </w:num>
  <w:num w:numId="11" w16cid:durableId="1658461399">
    <w:abstractNumId w:val="2"/>
  </w:num>
  <w:num w:numId="12" w16cid:durableId="168219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CC"/>
    <w:rsid w:val="00074282"/>
    <w:rsid w:val="001C3389"/>
    <w:rsid w:val="004F651C"/>
    <w:rsid w:val="00533345"/>
    <w:rsid w:val="00734692"/>
    <w:rsid w:val="00887CCC"/>
    <w:rsid w:val="008F4E78"/>
    <w:rsid w:val="00B9340D"/>
    <w:rsid w:val="00C17DE8"/>
    <w:rsid w:val="00D34E89"/>
    <w:rsid w:val="00D42B25"/>
    <w:rsid w:val="00D80861"/>
    <w:rsid w:val="00D85140"/>
    <w:rsid w:val="00D87397"/>
    <w:rsid w:val="00E841BD"/>
    <w:rsid w:val="00F32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154B"/>
  <w15:chartTrackingRefBased/>
  <w15:docId w15:val="{F2ED9F27-3DAD-440D-9EF8-64FC7D2C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7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7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7C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7C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87C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87C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7C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7C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7C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C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7C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7C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7C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87C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87C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7C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7C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7CCC"/>
    <w:rPr>
      <w:rFonts w:eastAsiaTheme="majorEastAsia" w:cstheme="majorBidi"/>
      <w:color w:val="272727" w:themeColor="text1" w:themeTint="D8"/>
    </w:rPr>
  </w:style>
  <w:style w:type="paragraph" w:styleId="KonuBal">
    <w:name w:val="Title"/>
    <w:basedOn w:val="Normal"/>
    <w:next w:val="Normal"/>
    <w:link w:val="KonuBalChar"/>
    <w:uiPriority w:val="10"/>
    <w:qFormat/>
    <w:rsid w:val="0088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7C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7C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7C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7C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7CCC"/>
    <w:rPr>
      <w:i/>
      <w:iCs/>
      <w:color w:val="404040" w:themeColor="text1" w:themeTint="BF"/>
    </w:rPr>
  </w:style>
  <w:style w:type="paragraph" w:styleId="ListeParagraf">
    <w:name w:val="List Paragraph"/>
    <w:basedOn w:val="Normal"/>
    <w:uiPriority w:val="34"/>
    <w:qFormat/>
    <w:rsid w:val="00887CCC"/>
    <w:pPr>
      <w:ind w:left="720"/>
      <w:contextualSpacing/>
    </w:pPr>
  </w:style>
  <w:style w:type="character" w:styleId="GlVurgulama">
    <w:name w:val="Intense Emphasis"/>
    <w:basedOn w:val="VarsaylanParagrafYazTipi"/>
    <w:uiPriority w:val="21"/>
    <w:qFormat/>
    <w:rsid w:val="00887CCC"/>
    <w:rPr>
      <w:i/>
      <w:iCs/>
      <w:color w:val="2F5496" w:themeColor="accent1" w:themeShade="BF"/>
    </w:rPr>
  </w:style>
  <w:style w:type="paragraph" w:styleId="GlAlnt">
    <w:name w:val="Intense Quote"/>
    <w:basedOn w:val="Normal"/>
    <w:next w:val="Normal"/>
    <w:link w:val="GlAlntChar"/>
    <w:uiPriority w:val="30"/>
    <w:qFormat/>
    <w:rsid w:val="00887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7CCC"/>
    <w:rPr>
      <w:i/>
      <w:iCs/>
      <w:color w:val="2F5496" w:themeColor="accent1" w:themeShade="BF"/>
    </w:rPr>
  </w:style>
  <w:style w:type="character" w:styleId="GlBavuru">
    <w:name w:val="Intense Reference"/>
    <w:basedOn w:val="VarsaylanParagrafYazTipi"/>
    <w:uiPriority w:val="32"/>
    <w:qFormat/>
    <w:rsid w:val="00887CCC"/>
    <w:rPr>
      <w:b/>
      <w:bCs/>
      <w:smallCaps/>
      <w:color w:val="2F5496" w:themeColor="accent1" w:themeShade="BF"/>
      <w:spacing w:val="5"/>
    </w:rPr>
  </w:style>
  <w:style w:type="paragraph" w:styleId="NormalWeb">
    <w:name w:val="Normal (Web)"/>
    <w:basedOn w:val="Normal"/>
    <w:uiPriority w:val="99"/>
    <w:semiHidden/>
    <w:unhideWhenUsed/>
    <w:rsid w:val="00887CCC"/>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C17DE8"/>
    <w:rPr>
      <w:color w:val="0563C1" w:themeColor="hyperlink"/>
      <w:u w:val="single"/>
    </w:rPr>
  </w:style>
  <w:style w:type="character" w:styleId="zmlenmeyenBahsetme">
    <w:name w:val="Unresolved Mention"/>
    <w:basedOn w:val="VarsaylanParagrafYazTipi"/>
    <w:uiPriority w:val="99"/>
    <w:semiHidden/>
    <w:unhideWhenUsed/>
    <w:rsid w:val="00C17DE8"/>
    <w:rPr>
      <w:color w:val="605E5C"/>
      <w:shd w:val="clear" w:color="auto" w:fill="E1DFDD"/>
    </w:rPr>
  </w:style>
  <w:style w:type="character" w:styleId="Vurgu">
    <w:name w:val="Emphasis"/>
    <w:basedOn w:val="VarsaylanParagrafYazTipi"/>
    <w:uiPriority w:val="20"/>
    <w:qFormat/>
    <w:rsid w:val="00D34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selsiddetlemucadele.org/wp-content/uploads/2018/01/Dogru-Kelimeler-DIGITAL2.pdf" TargetMode="External"/><Relationship Id="rId13" Type="http://schemas.openxmlformats.org/officeDocument/2006/relationships/hyperlink" Target="https://www.massmed.org/Governance-and-Leadership/House-of-Delegates/Advancing-Health-Equity-Guide-to-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nselsiddetlemucadele.org/wp-content/uploads/2018/12/Medya-brosur-online.pdf" TargetMode="External"/><Relationship Id="rId12" Type="http://schemas.openxmlformats.org/officeDocument/2006/relationships/hyperlink" Target="https://www.khas.edu.tr/wp-content/uploads/2024/10/Gender-Sensitive-Writing-Guide_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ris.who.int/bitstream/handle/10665/42600/9241590408.pdf" TargetMode="External"/><Relationship Id="rId1" Type="http://schemas.openxmlformats.org/officeDocument/2006/relationships/numbering" Target="numbering.xml"/><Relationship Id="rId6" Type="http://schemas.openxmlformats.org/officeDocument/2006/relationships/hyperlink" Target="https://doi.org/10.5888/pcd20.230061" TargetMode="External"/><Relationship Id="rId11" Type="http://schemas.openxmlformats.org/officeDocument/2006/relationships/hyperlink" Target="https://eige.europa.eu/publications-resources/publications/toolkit-gender-sensitive-communication?language_content_entity=en" TargetMode="External"/><Relationship Id="rId5" Type="http://schemas.openxmlformats.org/officeDocument/2006/relationships/hyperlink" Target="https://www.undp.org/tr/turkiye/publications/toplumsal-cinsiyete-duyarli-iletisim-rehberi" TargetMode="External"/><Relationship Id="rId15" Type="http://schemas.openxmlformats.org/officeDocument/2006/relationships/hyperlink" Target="https://iris.who.int/bitstream/handle/10665/44516/9789241501071_eng.pdf?sequence=1" TargetMode="External"/><Relationship Id="rId10" Type="http://schemas.openxmlformats.org/officeDocument/2006/relationships/hyperlink" Target="https://rm.coe.int/guidelines-for-the-use-of-language-as-a-driver-of-inclusivity/1680aec235" TargetMode="External"/><Relationship Id="rId4" Type="http://schemas.openxmlformats.org/officeDocument/2006/relationships/webSettings" Target="webSettings.xml"/><Relationship Id="rId9" Type="http://schemas.openxmlformats.org/officeDocument/2006/relationships/hyperlink" Target="https://cinselsiddetlemucadele.org/wp-content/uploads/2021/10/Hak_Temelli_Habercilik_Raporu-1.pdf" TargetMode="External"/><Relationship Id="rId14" Type="http://schemas.openxmlformats.org/officeDocument/2006/relationships/hyperlink" Target="https://asiapacific.unwomen.org/sites/default/files/2022-11/Gender%20Inclusive%20Language%20Guideline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2212</Words>
  <Characters>12614</Characters>
  <Application>Microsoft Office Word</Application>
  <DocSecurity>0</DocSecurity>
  <Lines>105</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Dikili</dc:creator>
  <cp:keywords/>
  <dc:description/>
  <cp:lastModifiedBy>Eda Dikili</cp:lastModifiedBy>
  <cp:revision>12</cp:revision>
  <dcterms:created xsi:type="dcterms:W3CDTF">2026-01-08T13:26:00Z</dcterms:created>
  <dcterms:modified xsi:type="dcterms:W3CDTF">2026-01-08T13:40:00Z</dcterms:modified>
</cp:coreProperties>
</file>